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4C7" w:rsidRPr="00516FA5" w:rsidRDefault="00EE362B">
      <w:pPr>
        <w:rPr>
          <w:rFonts w:ascii="Arial" w:hAnsi="Arial" w:cs="Arial"/>
          <w:b/>
          <w:sz w:val="24"/>
          <w:szCs w:val="24"/>
        </w:rPr>
      </w:pPr>
      <w:r w:rsidRPr="00516FA5">
        <w:rPr>
          <w:rFonts w:ascii="Arial" w:hAnsi="Arial" w:cs="Arial"/>
          <w:b/>
          <w:sz w:val="24"/>
          <w:szCs w:val="24"/>
        </w:rPr>
        <w:t>Five Misconceptions from the Unit</w:t>
      </w:r>
      <w:r w:rsidR="00C57E01">
        <w:rPr>
          <w:rFonts w:ascii="Arial" w:hAnsi="Arial" w:cs="Arial"/>
          <w:b/>
          <w:sz w:val="24"/>
          <w:szCs w:val="24"/>
        </w:rPr>
        <w:t>: Electrochemistry</w:t>
      </w:r>
    </w:p>
    <w:p w:rsidR="00606FAC" w:rsidRDefault="00606FAC" w:rsidP="00606FAC">
      <w:pPr>
        <w:pStyle w:val="ListParagraph"/>
        <w:rPr>
          <w:b/>
          <w:sz w:val="24"/>
          <w:szCs w:val="24"/>
        </w:rPr>
      </w:pPr>
      <w:r w:rsidRPr="00516FA5">
        <w:rPr>
          <w:b/>
          <w:sz w:val="24"/>
          <w:szCs w:val="24"/>
        </w:rPr>
        <w:t>Misconception # 1</w:t>
      </w:r>
    </w:p>
    <w:p w:rsidR="004A06B9" w:rsidRDefault="004A06B9" w:rsidP="00606FAC">
      <w:pPr>
        <w:pStyle w:val="ListParagraph"/>
        <w:rPr>
          <w:b/>
          <w:sz w:val="24"/>
          <w:szCs w:val="24"/>
        </w:rPr>
      </w:pPr>
      <w:r>
        <w:rPr>
          <w:b/>
          <w:sz w:val="24"/>
          <w:szCs w:val="24"/>
        </w:rPr>
        <w:t>Reduction and oxidation reactions</w:t>
      </w:r>
      <w:r w:rsidR="00125A37">
        <w:rPr>
          <w:b/>
          <w:sz w:val="24"/>
          <w:szCs w:val="24"/>
        </w:rPr>
        <w:t xml:space="preserve"> can</w:t>
      </w:r>
      <w:bookmarkStart w:id="0" w:name="_GoBack"/>
      <w:bookmarkEnd w:id="0"/>
      <w:r>
        <w:rPr>
          <w:b/>
          <w:sz w:val="24"/>
          <w:szCs w:val="24"/>
        </w:rPr>
        <w:t xml:space="preserve"> occur in isolation.</w:t>
      </w:r>
    </w:p>
    <w:p w:rsidR="00230D6B" w:rsidRDefault="00230D6B" w:rsidP="00606FAC">
      <w:pPr>
        <w:pStyle w:val="ListParagraph"/>
        <w:rPr>
          <w:b/>
          <w:sz w:val="24"/>
          <w:szCs w:val="24"/>
        </w:rPr>
      </w:pPr>
    </w:p>
    <w:p w:rsidR="004A06B9" w:rsidRDefault="004A06B9" w:rsidP="00606FAC">
      <w:pPr>
        <w:pStyle w:val="ListParagraph"/>
        <w:rPr>
          <w:sz w:val="24"/>
          <w:szCs w:val="24"/>
        </w:rPr>
      </w:pPr>
      <w:r>
        <w:rPr>
          <w:sz w:val="24"/>
          <w:szCs w:val="24"/>
        </w:rPr>
        <w:t>Remind students that</w:t>
      </w:r>
      <w:r w:rsidR="00822F44">
        <w:rPr>
          <w:sz w:val="24"/>
          <w:szCs w:val="24"/>
        </w:rPr>
        <w:t xml:space="preserve"> </w:t>
      </w:r>
      <w:r>
        <w:rPr>
          <w:sz w:val="24"/>
          <w:szCs w:val="24"/>
        </w:rPr>
        <w:t>the oxidation-reduction process</w:t>
      </w:r>
      <w:r w:rsidR="00822F44">
        <w:rPr>
          <w:sz w:val="24"/>
          <w:szCs w:val="24"/>
        </w:rPr>
        <w:t xml:space="preserve"> </w:t>
      </w:r>
      <w:r>
        <w:rPr>
          <w:sz w:val="24"/>
          <w:szCs w:val="24"/>
        </w:rPr>
        <w:t>involve</w:t>
      </w:r>
      <w:r w:rsidR="00822F44">
        <w:rPr>
          <w:sz w:val="24"/>
          <w:szCs w:val="24"/>
        </w:rPr>
        <w:t>s</w:t>
      </w:r>
      <w:r>
        <w:rPr>
          <w:sz w:val="24"/>
          <w:szCs w:val="24"/>
        </w:rPr>
        <w:t xml:space="preserve"> the transfer of an electron from a donor (becomes oxidised</w:t>
      </w:r>
      <w:r w:rsidR="00822F44">
        <w:rPr>
          <w:sz w:val="24"/>
          <w:szCs w:val="24"/>
        </w:rPr>
        <w:t>)</w:t>
      </w:r>
      <w:r>
        <w:rPr>
          <w:sz w:val="24"/>
          <w:szCs w:val="24"/>
        </w:rPr>
        <w:t xml:space="preserve"> to an acceptor (becomes reduced)</w:t>
      </w:r>
      <w:r w:rsidR="00125A37">
        <w:rPr>
          <w:sz w:val="24"/>
          <w:szCs w:val="24"/>
        </w:rPr>
        <w:t xml:space="preserve"> and this occurs together</w:t>
      </w:r>
      <w:r>
        <w:rPr>
          <w:sz w:val="24"/>
          <w:szCs w:val="24"/>
        </w:rPr>
        <w:t>.</w:t>
      </w:r>
    </w:p>
    <w:p w:rsidR="00084219" w:rsidRDefault="00084219" w:rsidP="00606FAC">
      <w:pPr>
        <w:pStyle w:val="ListParagraph"/>
        <w:rPr>
          <w:sz w:val="24"/>
          <w:szCs w:val="24"/>
        </w:rPr>
      </w:pPr>
      <w:r>
        <w:rPr>
          <w:sz w:val="24"/>
          <w:szCs w:val="24"/>
        </w:rPr>
        <w:t>Also</w:t>
      </w:r>
      <w:r w:rsidR="00822F44">
        <w:rPr>
          <w:sz w:val="24"/>
          <w:szCs w:val="24"/>
        </w:rPr>
        <w:t>,</w:t>
      </w:r>
      <w:r>
        <w:rPr>
          <w:sz w:val="24"/>
          <w:szCs w:val="24"/>
        </w:rPr>
        <w:t xml:space="preserve"> half –reaction equations represents</w:t>
      </w:r>
      <w:r w:rsidR="00822F44">
        <w:rPr>
          <w:sz w:val="24"/>
          <w:szCs w:val="24"/>
        </w:rPr>
        <w:t xml:space="preserve"> just that:</w:t>
      </w:r>
      <w:r>
        <w:rPr>
          <w:sz w:val="24"/>
          <w:szCs w:val="24"/>
        </w:rPr>
        <w:t xml:space="preserve"> half of a reaction. Thus an ‘oxidation half-reaction’ </w:t>
      </w:r>
      <w:r w:rsidR="00DB778A">
        <w:rPr>
          <w:sz w:val="24"/>
          <w:szCs w:val="24"/>
        </w:rPr>
        <w:t>refers to</w:t>
      </w:r>
      <w:r>
        <w:rPr>
          <w:sz w:val="24"/>
          <w:szCs w:val="24"/>
        </w:rPr>
        <w:t xml:space="preserve"> half of a redox reaction and ‘reduction half-reaction’ refers to the other half of a redox reaction.</w:t>
      </w:r>
    </w:p>
    <w:p w:rsidR="004A06B9" w:rsidRDefault="004A06B9" w:rsidP="00606FAC">
      <w:pPr>
        <w:pStyle w:val="ListParagraph"/>
        <w:rPr>
          <w:sz w:val="24"/>
          <w:szCs w:val="24"/>
        </w:rPr>
      </w:pPr>
      <w:r>
        <w:rPr>
          <w:sz w:val="24"/>
          <w:szCs w:val="24"/>
        </w:rPr>
        <w:t>To reduce confusion, the text book never refers</w:t>
      </w:r>
      <w:r w:rsidR="00084219">
        <w:rPr>
          <w:sz w:val="24"/>
          <w:szCs w:val="24"/>
        </w:rPr>
        <w:t xml:space="preserve"> </w:t>
      </w:r>
      <w:r>
        <w:rPr>
          <w:sz w:val="24"/>
          <w:szCs w:val="24"/>
        </w:rPr>
        <w:t>to reduction as a</w:t>
      </w:r>
      <w:r w:rsidR="00822F44">
        <w:rPr>
          <w:sz w:val="24"/>
          <w:szCs w:val="24"/>
        </w:rPr>
        <w:t>’</w:t>
      </w:r>
      <w:r>
        <w:rPr>
          <w:sz w:val="24"/>
          <w:szCs w:val="24"/>
        </w:rPr>
        <w:t xml:space="preserve"> reduction reaction</w:t>
      </w:r>
      <w:r w:rsidR="00822F44">
        <w:rPr>
          <w:sz w:val="24"/>
          <w:szCs w:val="24"/>
        </w:rPr>
        <w:t>’</w:t>
      </w:r>
      <w:r>
        <w:rPr>
          <w:sz w:val="24"/>
          <w:szCs w:val="24"/>
        </w:rPr>
        <w:t xml:space="preserve"> or oxidation as </w:t>
      </w:r>
      <w:r w:rsidR="00230D6B">
        <w:rPr>
          <w:sz w:val="24"/>
          <w:szCs w:val="24"/>
        </w:rPr>
        <w:t>an</w:t>
      </w:r>
      <w:r>
        <w:rPr>
          <w:sz w:val="24"/>
          <w:szCs w:val="24"/>
        </w:rPr>
        <w:t xml:space="preserve"> </w:t>
      </w:r>
      <w:r w:rsidR="00822F44">
        <w:rPr>
          <w:sz w:val="24"/>
          <w:szCs w:val="24"/>
        </w:rPr>
        <w:t>‘</w:t>
      </w:r>
      <w:r>
        <w:rPr>
          <w:sz w:val="24"/>
          <w:szCs w:val="24"/>
        </w:rPr>
        <w:t>oxidation reaction</w:t>
      </w:r>
      <w:r w:rsidR="00822F44">
        <w:rPr>
          <w:sz w:val="24"/>
          <w:szCs w:val="24"/>
        </w:rPr>
        <w:t>’</w:t>
      </w:r>
      <w:r>
        <w:rPr>
          <w:sz w:val="24"/>
          <w:szCs w:val="24"/>
        </w:rPr>
        <w:t>, it always refer to a redox reaction.</w:t>
      </w:r>
      <w:r w:rsidR="00084219">
        <w:rPr>
          <w:sz w:val="24"/>
          <w:szCs w:val="24"/>
        </w:rPr>
        <w:t xml:space="preserve"> Avoid using misleading terms such as </w:t>
      </w:r>
      <w:r w:rsidR="00822F44">
        <w:rPr>
          <w:sz w:val="24"/>
          <w:szCs w:val="24"/>
        </w:rPr>
        <w:t>‘</w:t>
      </w:r>
      <w:r w:rsidR="00084219">
        <w:rPr>
          <w:sz w:val="24"/>
          <w:szCs w:val="24"/>
        </w:rPr>
        <w:t xml:space="preserve">reduction reaction and </w:t>
      </w:r>
      <w:r w:rsidR="00DB778A">
        <w:rPr>
          <w:sz w:val="24"/>
          <w:szCs w:val="24"/>
        </w:rPr>
        <w:t>‘and</w:t>
      </w:r>
      <w:r w:rsidR="00084219">
        <w:rPr>
          <w:sz w:val="24"/>
          <w:szCs w:val="24"/>
        </w:rPr>
        <w:t xml:space="preserve"> ‘oxidation reaction in classes.</w:t>
      </w:r>
    </w:p>
    <w:p w:rsidR="00084219" w:rsidRDefault="00084219" w:rsidP="00606FAC">
      <w:pPr>
        <w:pStyle w:val="ListParagraph"/>
        <w:rPr>
          <w:sz w:val="24"/>
          <w:szCs w:val="24"/>
        </w:rPr>
      </w:pPr>
    </w:p>
    <w:p w:rsidR="00084219" w:rsidRDefault="00084219" w:rsidP="00606FAC">
      <w:pPr>
        <w:pStyle w:val="ListParagraph"/>
        <w:rPr>
          <w:b/>
          <w:sz w:val="24"/>
          <w:szCs w:val="24"/>
        </w:rPr>
      </w:pPr>
      <w:r w:rsidRPr="00084219">
        <w:rPr>
          <w:b/>
          <w:sz w:val="24"/>
          <w:szCs w:val="24"/>
        </w:rPr>
        <w:t>Misconception # 2</w:t>
      </w:r>
    </w:p>
    <w:p w:rsidR="00084219" w:rsidRDefault="00084219" w:rsidP="00606FAC">
      <w:pPr>
        <w:pStyle w:val="ListParagraph"/>
        <w:rPr>
          <w:b/>
          <w:sz w:val="24"/>
          <w:szCs w:val="24"/>
        </w:rPr>
      </w:pPr>
      <w:r>
        <w:rPr>
          <w:b/>
          <w:sz w:val="24"/>
          <w:szCs w:val="24"/>
        </w:rPr>
        <w:t xml:space="preserve">Free electrons flow through the salt bridge </w:t>
      </w:r>
      <w:r w:rsidR="00DB778A">
        <w:rPr>
          <w:b/>
          <w:sz w:val="24"/>
          <w:szCs w:val="24"/>
        </w:rPr>
        <w:t>or electrolyte</w:t>
      </w:r>
      <w:r>
        <w:rPr>
          <w:b/>
          <w:sz w:val="24"/>
          <w:szCs w:val="24"/>
        </w:rPr>
        <w:t xml:space="preserve"> solution to complete the circuit in a cell.</w:t>
      </w:r>
    </w:p>
    <w:p w:rsidR="00084219" w:rsidRDefault="00084219" w:rsidP="00606FAC">
      <w:pPr>
        <w:pStyle w:val="ListParagraph"/>
        <w:rPr>
          <w:sz w:val="24"/>
          <w:szCs w:val="24"/>
        </w:rPr>
      </w:pPr>
      <w:r>
        <w:rPr>
          <w:sz w:val="24"/>
          <w:szCs w:val="24"/>
        </w:rPr>
        <w:t xml:space="preserve">This misconception </w:t>
      </w:r>
      <w:r w:rsidR="00DB778A">
        <w:rPr>
          <w:sz w:val="24"/>
          <w:szCs w:val="24"/>
        </w:rPr>
        <w:t>can be addressed by using detailed diagrams or multimedia presentation</w:t>
      </w:r>
      <w:r w:rsidR="00822F44">
        <w:rPr>
          <w:sz w:val="24"/>
          <w:szCs w:val="24"/>
        </w:rPr>
        <w:t xml:space="preserve"> (animation or video clip)</w:t>
      </w:r>
      <w:r w:rsidR="00DB778A">
        <w:rPr>
          <w:sz w:val="24"/>
          <w:szCs w:val="24"/>
        </w:rPr>
        <w:t xml:space="preserve"> showing the movement of ions (anions and cations), not electrons going through salt bridge or electrolyte solution. A visual representation will help students visualise these concepts. Please see the figure below:</w:t>
      </w:r>
    </w:p>
    <w:p w:rsidR="00DB778A" w:rsidRDefault="00DB778A" w:rsidP="00606FAC">
      <w:pPr>
        <w:pStyle w:val="ListParagraph"/>
        <w:rPr>
          <w:sz w:val="24"/>
          <w:szCs w:val="24"/>
        </w:rPr>
      </w:pPr>
    </w:p>
    <w:p w:rsidR="00DB778A" w:rsidRDefault="00DB778A" w:rsidP="00606FAC">
      <w:pPr>
        <w:pStyle w:val="ListParagraph"/>
        <w:rPr>
          <w:sz w:val="24"/>
          <w:szCs w:val="24"/>
        </w:rPr>
      </w:pPr>
    </w:p>
    <w:p w:rsidR="00DB778A" w:rsidRDefault="00DB778A" w:rsidP="00606FAC">
      <w:pPr>
        <w:pStyle w:val="ListParagraph"/>
        <w:rPr>
          <w:sz w:val="24"/>
          <w:szCs w:val="24"/>
        </w:rPr>
      </w:pPr>
      <w:r w:rsidRPr="00516FA5">
        <w:rPr>
          <w:noProof/>
          <w:sz w:val="24"/>
          <w:szCs w:val="24"/>
        </w:rPr>
        <w:drawing>
          <wp:inline distT="0" distB="0" distL="0" distR="0" wp14:anchorId="30EC640F" wp14:editId="77C75FB9">
            <wp:extent cx="3695700" cy="2992441"/>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695700" cy="2992441"/>
                    </a:xfrm>
                    <a:prstGeom prst="rect">
                      <a:avLst/>
                    </a:prstGeom>
                    <a:noFill/>
                    <a:ln w="9525">
                      <a:noFill/>
                      <a:miter lim="800000"/>
                      <a:headEnd/>
                      <a:tailEnd/>
                    </a:ln>
                  </pic:spPr>
                </pic:pic>
              </a:graphicData>
            </a:graphic>
          </wp:inline>
        </w:drawing>
      </w:r>
    </w:p>
    <w:p w:rsidR="00DB778A" w:rsidRDefault="00DB778A" w:rsidP="00606FAC">
      <w:pPr>
        <w:pStyle w:val="ListParagraph"/>
        <w:rPr>
          <w:sz w:val="24"/>
          <w:szCs w:val="24"/>
        </w:rPr>
      </w:pPr>
    </w:p>
    <w:p w:rsidR="00834959" w:rsidRPr="00516FA5" w:rsidRDefault="00834959" w:rsidP="00834959">
      <w:pPr>
        <w:pStyle w:val="ListParagraph"/>
        <w:rPr>
          <w:b/>
          <w:sz w:val="24"/>
          <w:szCs w:val="24"/>
        </w:rPr>
      </w:pPr>
      <w:r w:rsidRPr="00516FA5">
        <w:rPr>
          <w:b/>
          <w:sz w:val="24"/>
          <w:szCs w:val="24"/>
        </w:rPr>
        <w:t>Misconception # 3</w:t>
      </w:r>
    </w:p>
    <w:p w:rsidR="00834959" w:rsidRDefault="00834959" w:rsidP="00606FAC">
      <w:pPr>
        <w:pStyle w:val="ListParagraph"/>
        <w:rPr>
          <w:b/>
          <w:sz w:val="24"/>
          <w:szCs w:val="24"/>
        </w:rPr>
      </w:pPr>
      <w:r w:rsidRPr="00834959">
        <w:rPr>
          <w:b/>
          <w:sz w:val="24"/>
          <w:szCs w:val="24"/>
        </w:rPr>
        <w:t>The anode must appear on the left in a galvanic cell diagram</w:t>
      </w:r>
    </w:p>
    <w:p w:rsidR="00230D6B" w:rsidRDefault="00230D6B" w:rsidP="00606FAC">
      <w:pPr>
        <w:pStyle w:val="ListParagraph"/>
        <w:rPr>
          <w:b/>
          <w:sz w:val="24"/>
          <w:szCs w:val="24"/>
        </w:rPr>
      </w:pPr>
    </w:p>
    <w:p w:rsidR="00834959" w:rsidRPr="00516FA5" w:rsidRDefault="00834959" w:rsidP="00834959">
      <w:pPr>
        <w:pStyle w:val="ListParagraph"/>
        <w:rPr>
          <w:sz w:val="24"/>
          <w:szCs w:val="24"/>
        </w:rPr>
      </w:pPr>
      <w:r>
        <w:rPr>
          <w:sz w:val="24"/>
          <w:szCs w:val="24"/>
        </w:rPr>
        <w:t>Remind students that t</w:t>
      </w:r>
      <w:r w:rsidRPr="00516FA5">
        <w:rPr>
          <w:sz w:val="24"/>
          <w:szCs w:val="24"/>
        </w:rPr>
        <w:t xml:space="preserve">he convention of “anode on the left” applies only to the cell notation. In a diagram of a galvanic cell, the anode </w:t>
      </w:r>
      <w:r>
        <w:rPr>
          <w:sz w:val="24"/>
          <w:szCs w:val="24"/>
        </w:rPr>
        <w:t>can</w:t>
      </w:r>
      <w:r w:rsidRPr="00516FA5">
        <w:rPr>
          <w:sz w:val="24"/>
          <w:szCs w:val="24"/>
        </w:rPr>
        <w:t xml:space="preserve"> appear on the left or the right, as it can in a lab setting. To avoid the misconception that a diagram must show the anode on the left, switch the positions of cathode and anode wh</w:t>
      </w:r>
      <w:r>
        <w:rPr>
          <w:sz w:val="24"/>
          <w:szCs w:val="24"/>
        </w:rPr>
        <w:t>en</w:t>
      </w:r>
      <w:r w:rsidRPr="00516FA5">
        <w:rPr>
          <w:sz w:val="24"/>
          <w:szCs w:val="24"/>
        </w:rPr>
        <w:t xml:space="preserve"> sketching</w:t>
      </w:r>
      <w:r>
        <w:rPr>
          <w:sz w:val="24"/>
          <w:szCs w:val="24"/>
        </w:rPr>
        <w:t xml:space="preserve"> diagrams of</w:t>
      </w:r>
      <w:r w:rsidRPr="00516FA5">
        <w:rPr>
          <w:sz w:val="24"/>
          <w:szCs w:val="24"/>
        </w:rPr>
        <w:t xml:space="preserve"> galvanic cells </w:t>
      </w:r>
      <w:r>
        <w:rPr>
          <w:sz w:val="24"/>
          <w:szCs w:val="24"/>
        </w:rPr>
        <w:t>on</w:t>
      </w:r>
      <w:r w:rsidRPr="00516FA5">
        <w:rPr>
          <w:sz w:val="24"/>
          <w:szCs w:val="24"/>
        </w:rPr>
        <w:t xml:space="preserve"> different occasions.</w:t>
      </w:r>
    </w:p>
    <w:p w:rsidR="00834959" w:rsidRDefault="00834959" w:rsidP="00606FAC">
      <w:pPr>
        <w:pStyle w:val="ListParagraph"/>
        <w:rPr>
          <w:b/>
          <w:sz w:val="24"/>
          <w:szCs w:val="24"/>
        </w:rPr>
      </w:pPr>
    </w:p>
    <w:p w:rsidR="00834959" w:rsidRDefault="00834959" w:rsidP="00606FAC">
      <w:pPr>
        <w:pStyle w:val="ListParagraph"/>
        <w:rPr>
          <w:b/>
          <w:sz w:val="24"/>
          <w:szCs w:val="24"/>
        </w:rPr>
      </w:pPr>
    </w:p>
    <w:p w:rsidR="00834959" w:rsidRDefault="00834959" w:rsidP="00834959">
      <w:pPr>
        <w:pStyle w:val="ListParagraph"/>
        <w:rPr>
          <w:b/>
          <w:sz w:val="24"/>
          <w:szCs w:val="24"/>
        </w:rPr>
      </w:pPr>
      <w:r w:rsidRPr="00516FA5">
        <w:rPr>
          <w:b/>
          <w:sz w:val="24"/>
          <w:szCs w:val="24"/>
        </w:rPr>
        <w:t xml:space="preserve">Misconception # </w:t>
      </w:r>
      <w:r>
        <w:rPr>
          <w:b/>
          <w:sz w:val="24"/>
          <w:szCs w:val="24"/>
        </w:rPr>
        <w:t>4</w:t>
      </w:r>
    </w:p>
    <w:p w:rsidR="00834959" w:rsidRPr="00834959" w:rsidRDefault="00834959" w:rsidP="00606FAC">
      <w:pPr>
        <w:pStyle w:val="ListParagraph"/>
        <w:rPr>
          <w:b/>
          <w:sz w:val="24"/>
          <w:szCs w:val="24"/>
        </w:rPr>
      </w:pPr>
      <w:r>
        <w:rPr>
          <w:b/>
          <w:sz w:val="24"/>
          <w:szCs w:val="24"/>
        </w:rPr>
        <w:t>Oxidation numbers represent an ionic charge in a covalent molecule or polyatomic ion.</w:t>
      </w:r>
    </w:p>
    <w:p w:rsidR="00194AF2" w:rsidRPr="00516FA5" w:rsidRDefault="00822F44" w:rsidP="00606FAC">
      <w:pPr>
        <w:pStyle w:val="ListParagraph"/>
        <w:rPr>
          <w:sz w:val="24"/>
          <w:szCs w:val="24"/>
        </w:rPr>
      </w:pPr>
      <w:r>
        <w:rPr>
          <w:sz w:val="24"/>
          <w:szCs w:val="24"/>
        </w:rPr>
        <w:t>Tell students</w:t>
      </w:r>
      <w:r w:rsidR="00834959">
        <w:rPr>
          <w:sz w:val="24"/>
          <w:szCs w:val="24"/>
        </w:rPr>
        <w:t xml:space="preserve"> that a</w:t>
      </w:r>
      <w:r w:rsidR="00606FAC" w:rsidRPr="00516FA5">
        <w:rPr>
          <w:sz w:val="24"/>
          <w:szCs w:val="24"/>
        </w:rPr>
        <w:t>ssigning oxidation numbers to elements in a covalent molecule or polyatomic ion is done, for the purposes of electron tracking,</w:t>
      </w:r>
      <w:r w:rsidR="00834959" w:rsidRPr="00834959">
        <w:rPr>
          <w:sz w:val="24"/>
          <w:szCs w:val="24"/>
        </w:rPr>
        <w:t xml:space="preserve"> </w:t>
      </w:r>
      <w:r w:rsidR="00834959" w:rsidRPr="00516FA5">
        <w:rPr>
          <w:sz w:val="24"/>
          <w:szCs w:val="24"/>
        </w:rPr>
        <w:t>on the basis of pretending</w:t>
      </w:r>
      <w:r w:rsidR="00606FAC" w:rsidRPr="00516FA5">
        <w:rPr>
          <w:sz w:val="24"/>
          <w:szCs w:val="24"/>
        </w:rPr>
        <w:t xml:space="preserve"> that bonds in these species are ionic. To help address this misconception, ensure that ionic charge is always written with the charge following the number</w:t>
      </w:r>
      <w:r>
        <w:rPr>
          <w:sz w:val="24"/>
          <w:szCs w:val="24"/>
        </w:rPr>
        <w:t>(1+)</w:t>
      </w:r>
      <w:r w:rsidR="00606FAC" w:rsidRPr="00516FA5">
        <w:rPr>
          <w:sz w:val="24"/>
          <w:szCs w:val="24"/>
        </w:rPr>
        <w:t xml:space="preserve"> and oxidation numbers are always written with the charge in front of the number</w:t>
      </w:r>
      <w:r>
        <w:rPr>
          <w:sz w:val="24"/>
          <w:szCs w:val="24"/>
        </w:rPr>
        <w:t xml:space="preserve"> (+1)</w:t>
      </w:r>
      <w:r w:rsidR="00194AF2" w:rsidRPr="00516FA5">
        <w:rPr>
          <w:sz w:val="24"/>
          <w:szCs w:val="24"/>
        </w:rPr>
        <w:t xml:space="preserve">. </w:t>
      </w:r>
    </w:p>
    <w:p w:rsidR="00606FAC" w:rsidRPr="00516FA5" w:rsidRDefault="00194AF2" w:rsidP="00606FAC">
      <w:pPr>
        <w:pStyle w:val="ListParagraph"/>
        <w:rPr>
          <w:sz w:val="24"/>
          <w:szCs w:val="24"/>
        </w:rPr>
      </w:pPr>
      <w:r w:rsidRPr="00516FA5">
        <w:rPr>
          <w:sz w:val="24"/>
          <w:szCs w:val="24"/>
        </w:rPr>
        <w:t>For example, H in the HCl has an ionic charge of 1+. However, H in H</w:t>
      </w:r>
      <w:r w:rsidRPr="00516FA5">
        <w:rPr>
          <w:sz w:val="24"/>
          <w:szCs w:val="24"/>
          <w:vertAlign w:val="subscript"/>
        </w:rPr>
        <w:t>2</w:t>
      </w:r>
      <w:r w:rsidRPr="00516FA5">
        <w:rPr>
          <w:sz w:val="24"/>
          <w:szCs w:val="24"/>
        </w:rPr>
        <w:t>O has an oxidation number of +1.</w:t>
      </w:r>
      <w:r w:rsidR="00606FAC" w:rsidRPr="00516FA5">
        <w:rPr>
          <w:sz w:val="24"/>
          <w:szCs w:val="24"/>
        </w:rPr>
        <w:t xml:space="preserve"> </w:t>
      </w:r>
    </w:p>
    <w:p w:rsidR="00D45C03" w:rsidRPr="00516FA5" w:rsidRDefault="00D45C03" w:rsidP="00606FAC">
      <w:pPr>
        <w:pStyle w:val="ListParagraph"/>
        <w:rPr>
          <w:sz w:val="24"/>
          <w:szCs w:val="24"/>
        </w:rPr>
      </w:pPr>
    </w:p>
    <w:p w:rsidR="007A2C97" w:rsidRPr="00516FA5" w:rsidRDefault="007A2C97" w:rsidP="00606FAC">
      <w:pPr>
        <w:pStyle w:val="ListParagraph"/>
        <w:rPr>
          <w:sz w:val="24"/>
          <w:szCs w:val="24"/>
        </w:rPr>
      </w:pPr>
    </w:p>
    <w:p w:rsidR="00357857" w:rsidRDefault="000177E1" w:rsidP="00606FAC">
      <w:pPr>
        <w:pStyle w:val="ListParagraph"/>
        <w:rPr>
          <w:b/>
          <w:sz w:val="24"/>
          <w:szCs w:val="24"/>
        </w:rPr>
      </w:pPr>
      <w:r>
        <w:rPr>
          <w:b/>
          <w:sz w:val="24"/>
          <w:szCs w:val="24"/>
        </w:rPr>
        <w:t>Misconception # 5</w:t>
      </w:r>
    </w:p>
    <w:p w:rsidR="000177E1" w:rsidRDefault="000177E1" w:rsidP="00606FAC">
      <w:pPr>
        <w:pStyle w:val="ListParagraph"/>
        <w:rPr>
          <w:b/>
          <w:sz w:val="24"/>
          <w:szCs w:val="24"/>
        </w:rPr>
      </w:pPr>
      <w:r>
        <w:rPr>
          <w:b/>
          <w:sz w:val="24"/>
          <w:szCs w:val="24"/>
        </w:rPr>
        <w:t>Cell potential changes when the volume of the solution in the cell changes, or when the reaction equation is reversed or multiplied by a numerical coefficient.</w:t>
      </w:r>
    </w:p>
    <w:p w:rsidR="00230D6B" w:rsidRPr="00516FA5" w:rsidRDefault="00230D6B" w:rsidP="00606FAC">
      <w:pPr>
        <w:pStyle w:val="ListParagraph"/>
        <w:rPr>
          <w:b/>
          <w:sz w:val="24"/>
          <w:szCs w:val="24"/>
        </w:rPr>
      </w:pPr>
    </w:p>
    <w:p w:rsidR="00FE3797" w:rsidRPr="00516FA5" w:rsidRDefault="00E611E6" w:rsidP="00606FAC">
      <w:pPr>
        <w:pStyle w:val="ListParagraph"/>
        <w:rPr>
          <w:sz w:val="24"/>
          <w:szCs w:val="24"/>
        </w:rPr>
      </w:pPr>
      <w:r w:rsidRPr="00516FA5">
        <w:rPr>
          <w:sz w:val="24"/>
          <w:szCs w:val="24"/>
        </w:rPr>
        <w:t xml:space="preserve">Students will tend to reverse the sign of half-cell potential when they reverse the equation or to multiply the cell potential when the multiply the equation with a numerical coefficient. This will seem confusing to students who may feel that potential difference should also be multiplied, according to Hess’s Law. It is important to clarify to students that half cell potentials are intensive properties, unlike enthalpy, i.e., potential difference does not depend on the size or amount of matter in the object.  Therefore, </w:t>
      </w:r>
      <w:r w:rsidR="00516FA5">
        <w:rPr>
          <w:sz w:val="24"/>
          <w:szCs w:val="24"/>
        </w:rPr>
        <w:t>cell potential is not changed when the volume of solution in cell is changed or when the equation is reversed or multiplied by a numerical coefficient. To avoid any confusion, a</w:t>
      </w:r>
      <w:r w:rsidRPr="00516FA5">
        <w:rPr>
          <w:sz w:val="24"/>
          <w:szCs w:val="24"/>
        </w:rPr>
        <w:t>lways use the same</w:t>
      </w:r>
      <w:r w:rsidR="00230D6B">
        <w:rPr>
          <w:sz w:val="24"/>
          <w:szCs w:val="24"/>
        </w:rPr>
        <w:t xml:space="preserve"> standard cell potential</w:t>
      </w:r>
      <w:r w:rsidRPr="00516FA5">
        <w:rPr>
          <w:sz w:val="24"/>
          <w:szCs w:val="24"/>
        </w:rPr>
        <w:t xml:space="preserve"> formula (</w:t>
      </w:r>
      <w:proofErr w:type="spellStart"/>
      <w:r w:rsidRPr="00516FA5">
        <w:rPr>
          <w:sz w:val="24"/>
          <w:szCs w:val="24"/>
        </w:rPr>
        <w:t>E</w:t>
      </w:r>
      <w:r w:rsidRPr="00516FA5">
        <w:rPr>
          <w:sz w:val="24"/>
          <w:szCs w:val="24"/>
          <w:vertAlign w:val="superscript"/>
        </w:rPr>
        <w:t>o</w:t>
      </w:r>
      <w:r w:rsidRPr="00516FA5">
        <w:rPr>
          <w:sz w:val="24"/>
          <w:szCs w:val="24"/>
          <w:vertAlign w:val="subscript"/>
        </w:rPr>
        <w:t>cell</w:t>
      </w:r>
      <w:proofErr w:type="spellEnd"/>
      <w:r w:rsidRPr="00516FA5">
        <w:rPr>
          <w:sz w:val="24"/>
          <w:szCs w:val="24"/>
        </w:rPr>
        <w:t xml:space="preserve"> = E</w:t>
      </w:r>
      <w:r w:rsidRPr="00516FA5">
        <w:rPr>
          <w:sz w:val="24"/>
          <w:szCs w:val="24"/>
          <w:vertAlign w:val="superscript"/>
        </w:rPr>
        <w:t>o</w:t>
      </w:r>
      <w:r w:rsidRPr="00516FA5">
        <w:rPr>
          <w:sz w:val="24"/>
          <w:szCs w:val="24"/>
          <w:vertAlign w:val="subscript"/>
        </w:rPr>
        <w:t>cathode</w:t>
      </w:r>
      <w:r w:rsidRPr="00516FA5">
        <w:rPr>
          <w:sz w:val="24"/>
          <w:szCs w:val="24"/>
        </w:rPr>
        <w:t xml:space="preserve"> – E</w:t>
      </w:r>
      <w:r w:rsidRPr="00516FA5">
        <w:rPr>
          <w:sz w:val="24"/>
          <w:szCs w:val="24"/>
          <w:vertAlign w:val="superscript"/>
        </w:rPr>
        <w:t>o</w:t>
      </w:r>
      <w:r w:rsidRPr="00516FA5">
        <w:rPr>
          <w:sz w:val="24"/>
          <w:szCs w:val="24"/>
          <w:vertAlign w:val="subscript"/>
        </w:rPr>
        <w:t>anode</w:t>
      </w:r>
      <w:r w:rsidRPr="00516FA5">
        <w:rPr>
          <w:sz w:val="24"/>
          <w:szCs w:val="24"/>
        </w:rPr>
        <w:t>) for calculating the potential difference</w:t>
      </w:r>
      <w:r w:rsidR="00516FA5">
        <w:rPr>
          <w:sz w:val="24"/>
          <w:szCs w:val="24"/>
        </w:rPr>
        <w:t>s</w:t>
      </w:r>
      <w:r w:rsidRPr="00516FA5">
        <w:rPr>
          <w:sz w:val="24"/>
          <w:szCs w:val="24"/>
        </w:rPr>
        <w:t xml:space="preserve"> for both the galvanic and electrolytic cells.</w:t>
      </w:r>
      <w:r w:rsidR="00FE3797" w:rsidRPr="00516FA5">
        <w:rPr>
          <w:sz w:val="24"/>
          <w:szCs w:val="24"/>
        </w:rPr>
        <w:t xml:space="preserve"> </w:t>
      </w:r>
    </w:p>
    <w:p w:rsidR="00FE3797" w:rsidRPr="00516FA5" w:rsidRDefault="00FE3797" w:rsidP="00606FAC">
      <w:pPr>
        <w:pStyle w:val="ListParagraph"/>
        <w:rPr>
          <w:sz w:val="24"/>
          <w:szCs w:val="24"/>
        </w:rPr>
      </w:pPr>
    </w:p>
    <w:sectPr w:rsidR="00FE3797" w:rsidRPr="00516FA5" w:rsidSect="008904C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61F" w:rsidRDefault="00E0761F" w:rsidP="00907828">
      <w:pPr>
        <w:spacing w:after="0" w:line="240" w:lineRule="auto"/>
      </w:pPr>
      <w:r>
        <w:separator/>
      </w:r>
    </w:p>
  </w:endnote>
  <w:endnote w:type="continuationSeparator" w:id="0">
    <w:p w:rsidR="00E0761F" w:rsidRDefault="00E0761F" w:rsidP="00907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847949"/>
      <w:docPartObj>
        <w:docPartGallery w:val="Page Numbers (Bottom of Page)"/>
        <w:docPartUnique/>
      </w:docPartObj>
    </w:sdtPr>
    <w:sdtEndPr>
      <w:rPr>
        <w:noProof/>
      </w:rPr>
    </w:sdtEndPr>
    <w:sdtContent>
      <w:p w:rsidR="00907828" w:rsidRDefault="00907828">
        <w:pPr>
          <w:pStyle w:val="Footer"/>
          <w:jc w:val="right"/>
        </w:pPr>
        <w:r>
          <w:fldChar w:fldCharType="begin"/>
        </w:r>
        <w:r>
          <w:instrText xml:space="preserve"> PAGE   \* MERGEFORMAT </w:instrText>
        </w:r>
        <w:r>
          <w:fldChar w:fldCharType="separate"/>
        </w:r>
        <w:r w:rsidR="00125A37">
          <w:rPr>
            <w:noProof/>
          </w:rPr>
          <w:t>1</w:t>
        </w:r>
        <w:r>
          <w:rPr>
            <w:noProof/>
          </w:rPr>
          <w:fldChar w:fldCharType="end"/>
        </w:r>
      </w:p>
    </w:sdtContent>
  </w:sdt>
  <w:p w:rsidR="00907828" w:rsidRDefault="009078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61F" w:rsidRDefault="00E0761F" w:rsidP="00907828">
      <w:pPr>
        <w:spacing w:after="0" w:line="240" w:lineRule="auto"/>
      </w:pPr>
      <w:r>
        <w:separator/>
      </w:r>
    </w:p>
  </w:footnote>
  <w:footnote w:type="continuationSeparator" w:id="0">
    <w:p w:rsidR="00E0761F" w:rsidRDefault="00E0761F" w:rsidP="009078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B738F"/>
    <w:multiLevelType w:val="hybridMultilevel"/>
    <w:tmpl w:val="ECE221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62B"/>
    <w:rsid w:val="000177E1"/>
    <w:rsid w:val="00084219"/>
    <w:rsid w:val="00125A37"/>
    <w:rsid w:val="00150473"/>
    <w:rsid w:val="00194AF2"/>
    <w:rsid w:val="001E4A66"/>
    <w:rsid w:val="00230D6B"/>
    <w:rsid w:val="00357857"/>
    <w:rsid w:val="003E0E4F"/>
    <w:rsid w:val="00485565"/>
    <w:rsid w:val="004A06B9"/>
    <w:rsid w:val="00516FA5"/>
    <w:rsid w:val="005F7CE2"/>
    <w:rsid w:val="00606FAC"/>
    <w:rsid w:val="007A2C97"/>
    <w:rsid w:val="00822F44"/>
    <w:rsid w:val="00834959"/>
    <w:rsid w:val="008904C7"/>
    <w:rsid w:val="00907828"/>
    <w:rsid w:val="00C57E01"/>
    <w:rsid w:val="00D45C03"/>
    <w:rsid w:val="00DB778A"/>
    <w:rsid w:val="00E0761F"/>
    <w:rsid w:val="00E611E6"/>
    <w:rsid w:val="00EE362B"/>
    <w:rsid w:val="00FE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6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FAC"/>
    <w:rPr>
      <w:rFonts w:ascii="Tahoma" w:hAnsi="Tahoma" w:cs="Tahoma"/>
      <w:sz w:val="16"/>
      <w:szCs w:val="16"/>
    </w:rPr>
  </w:style>
  <w:style w:type="paragraph" w:styleId="ListParagraph">
    <w:name w:val="List Paragraph"/>
    <w:basedOn w:val="Normal"/>
    <w:uiPriority w:val="34"/>
    <w:qFormat/>
    <w:rsid w:val="00606FAC"/>
    <w:pPr>
      <w:ind w:left="720"/>
      <w:contextualSpacing/>
    </w:pPr>
  </w:style>
  <w:style w:type="paragraph" w:styleId="Header">
    <w:name w:val="header"/>
    <w:basedOn w:val="Normal"/>
    <w:link w:val="HeaderChar"/>
    <w:uiPriority w:val="99"/>
    <w:unhideWhenUsed/>
    <w:rsid w:val="00907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828"/>
  </w:style>
  <w:style w:type="paragraph" w:styleId="Footer">
    <w:name w:val="footer"/>
    <w:basedOn w:val="Normal"/>
    <w:link w:val="FooterChar"/>
    <w:uiPriority w:val="99"/>
    <w:unhideWhenUsed/>
    <w:rsid w:val="00907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8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6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FAC"/>
    <w:rPr>
      <w:rFonts w:ascii="Tahoma" w:hAnsi="Tahoma" w:cs="Tahoma"/>
      <w:sz w:val="16"/>
      <w:szCs w:val="16"/>
    </w:rPr>
  </w:style>
  <w:style w:type="paragraph" w:styleId="ListParagraph">
    <w:name w:val="List Paragraph"/>
    <w:basedOn w:val="Normal"/>
    <w:uiPriority w:val="34"/>
    <w:qFormat/>
    <w:rsid w:val="00606FAC"/>
    <w:pPr>
      <w:ind w:left="720"/>
      <w:contextualSpacing/>
    </w:pPr>
  </w:style>
  <w:style w:type="paragraph" w:styleId="Header">
    <w:name w:val="header"/>
    <w:basedOn w:val="Normal"/>
    <w:link w:val="HeaderChar"/>
    <w:uiPriority w:val="99"/>
    <w:unhideWhenUsed/>
    <w:rsid w:val="00907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828"/>
  </w:style>
  <w:style w:type="paragraph" w:styleId="Footer">
    <w:name w:val="footer"/>
    <w:basedOn w:val="Normal"/>
    <w:link w:val="FooterChar"/>
    <w:uiPriority w:val="99"/>
    <w:unhideWhenUsed/>
    <w:rsid w:val="00907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Bushra</dc:creator>
  <cp:lastModifiedBy>Brooks Family</cp:lastModifiedBy>
  <cp:revision>8</cp:revision>
  <dcterms:created xsi:type="dcterms:W3CDTF">2012-02-20T11:41:00Z</dcterms:created>
  <dcterms:modified xsi:type="dcterms:W3CDTF">2012-02-20T13:12:00Z</dcterms:modified>
</cp:coreProperties>
</file>